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B7" w:rsidRDefault="005435B7" w:rsidP="00832C3D">
      <w:pPr>
        <w:ind w:left="1440" w:firstLine="720"/>
      </w:pPr>
      <w:r>
        <w:t>IN THE UNITED STATES BANKRUPTCY COURT</w:t>
      </w:r>
    </w:p>
    <w:p w:rsidR="005435B7" w:rsidRDefault="005435B7" w:rsidP="005435B7">
      <w:pPr>
        <w:jc w:val="center"/>
      </w:pPr>
      <w:r>
        <w:t>FOR THE EASTERN DISTRICT OF WISCONSIN</w:t>
      </w:r>
    </w:p>
    <w:p w:rsidR="005435B7" w:rsidRDefault="005435B7" w:rsidP="005435B7">
      <w:pPr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80384" id="Rectangle 3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FicwIAAPc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1XIhYnMCAAD3BAAADgAAAAAAAAAAAAAA&#10;AAAuAgAAZHJzL2Uyb0RvYy54bWxQSwECLQAUAAYACAAAACEA3pBdo9kAAAAH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435B7" w:rsidRDefault="005435B7" w:rsidP="005435B7"/>
    <w:p w:rsidR="005435B7" w:rsidRDefault="005435B7" w:rsidP="005435B7">
      <w:r>
        <w:t>In 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 11</w:t>
      </w:r>
    </w:p>
    <w:p w:rsidR="005435B7" w:rsidRDefault="005435B7" w:rsidP="005435B7">
      <w:r>
        <w:rPr>
          <w:bCs/>
        </w:rPr>
        <w:t>_____________,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</w:t>
      </w:r>
      <w:r>
        <w:t xml:space="preserve">ase No. </w:t>
      </w:r>
      <w:r w:rsidR="0066107B">
        <w:t>___________</w:t>
      </w:r>
    </w:p>
    <w:p w:rsidR="005435B7" w:rsidRDefault="005435B7" w:rsidP="005435B7">
      <w:r>
        <w:tab/>
      </w:r>
      <w:r>
        <w:tab/>
        <w:t>Debtor.</w:t>
      </w:r>
    </w:p>
    <w:p w:rsidR="005435B7" w:rsidRDefault="005435B7" w:rsidP="005435B7"/>
    <w:p w:rsidR="005435B7" w:rsidRDefault="005435B7" w:rsidP="005435B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-635</wp:posOffset>
                </wp:positionV>
                <wp:extent cx="5943600" cy="12065"/>
                <wp:effectExtent l="0" t="0" r="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E22C8" id="Rectangle 1" o:spid="_x0000_s1026" style="position:absolute;margin-left:1in;margin-top:-.05pt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LocgIAAPc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" o:allowincell="f" fillcolor="black" stroked="f" strokeweight="0">
                <w10:wrap anchorx="page"/>
              </v:rect>
            </w:pict>
          </mc:Fallback>
        </mc:AlternateContent>
      </w:r>
    </w:p>
    <w:p w:rsidR="00832C3D" w:rsidRDefault="005435B7" w:rsidP="005435B7">
      <w:pPr>
        <w:jc w:val="center"/>
        <w:rPr>
          <w:b/>
        </w:rPr>
      </w:pPr>
      <w:r>
        <w:rPr>
          <w:b/>
        </w:rPr>
        <w:t xml:space="preserve">ORDER </w:t>
      </w:r>
      <w:r w:rsidR="005D4963">
        <w:rPr>
          <w:b/>
        </w:rPr>
        <w:t xml:space="preserve">GRANTING DEBTOR’S MOTION </w:t>
      </w:r>
    </w:p>
    <w:p w:rsidR="005435B7" w:rsidRDefault="005D4963" w:rsidP="005435B7">
      <w:pPr>
        <w:jc w:val="center"/>
        <w:rPr>
          <w:b/>
        </w:rPr>
      </w:pPr>
      <w:r>
        <w:rPr>
          <w:b/>
        </w:rPr>
        <w:t>TO ADMINISTRATIVELY CLOSE CHAPTER 11 CASE</w:t>
      </w:r>
    </w:p>
    <w:p w:rsidR="005435B7" w:rsidRDefault="005435B7" w:rsidP="005435B7">
      <w:pPr>
        <w:jc w:val="center"/>
        <w:rPr>
          <w:b/>
          <w:u w:val="single"/>
        </w:rPr>
      </w:pPr>
    </w:p>
    <w:p w:rsidR="005435B7" w:rsidRDefault="005435B7" w:rsidP="005435B7">
      <w:pPr>
        <w:jc w:val="cent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7620</wp:posOffset>
                </wp:positionV>
                <wp:extent cx="5943600" cy="12065"/>
                <wp:effectExtent l="0" t="0" r="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17FF4" id="Rectangle 2" o:spid="_x0000_s1026" style="position:absolute;margin-left:1in;margin-top:.6pt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gncwIAAPc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" o:allowincell="f" fillcolor="black" stroked="f" strokeweight="0">
                <w10:wrap anchorx="page"/>
              </v:rect>
            </w:pict>
          </mc:Fallback>
        </mc:AlternateContent>
      </w:r>
    </w:p>
    <w:p w:rsidR="00774968" w:rsidRDefault="0066107B" w:rsidP="0066107B">
      <w:pPr>
        <w:autoSpaceDE w:val="0"/>
        <w:autoSpaceDN w:val="0"/>
        <w:adjustRightInd w:val="0"/>
        <w:spacing w:line="480" w:lineRule="auto"/>
        <w:ind w:firstLine="72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Upon consideration of the </w:t>
      </w:r>
      <w:r w:rsidR="005D4963">
        <w:rPr>
          <w:rFonts w:eastAsiaTheme="minorHAnsi"/>
          <w:color w:val="000000"/>
        </w:rPr>
        <w:t xml:space="preserve">Debtor’s </w:t>
      </w:r>
      <w:r>
        <w:rPr>
          <w:rFonts w:eastAsiaTheme="minorHAnsi"/>
          <w:color w:val="000000"/>
        </w:rPr>
        <w:t>m</w:t>
      </w:r>
      <w:r w:rsidR="005D4963">
        <w:rPr>
          <w:rFonts w:eastAsiaTheme="minorHAnsi"/>
          <w:color w:val="000000"/>
        </w:rPr>
        <w:t xml:space="preserve">otion to </w:t>
      </w:r>
      <w:r>
        <w:rPr>
          <w:rFonts w:eastAsiaTheme="minorHAnsi"/>
          <w:color w:val="000000"/>
        </w:rPr>
        <w:t>a</w:t>
      </w:r>
      <w:r w:rsidR="005D4963">
        <w:rPr>
          <w:rFonts w:eastAsiaTheme="minorHAnsi"/>
          <w:color w:val="000000"/>
        </w:rPr>
        <w:t xml:space="preserve">dministratively </w:t>
      </w:r>
      <w:r>
        <w:rPr>
          <w:rFonts w:eastAsiaTheme="minorHAnsi"/>
          <w:color w:val="000000"/>
        </w:rPr>
        <w:t>c</w:t>
      </w:r>
      <w:r w:rsidR="005D4963">
        <w:rPr>
          <w:rFonts w:eastAsiaTheme="minorHAnsi"/>
          <w:color w:val="000000"/>
        </w:rPr>
        <w:t xml:space="preserve">lose </w:t>
      </w:r>
      <w:r>
        <w:rPr>
          <w:rFonts w:eastAsiaTheme="minorHAnsi"/>
          <w:color w:val="000000"/>
        </w:rPr>
        <w:t>this Chapter 11 c</w:t>
      </w:r>
      <w:r w:rsidR="005D4963">
        <w:rPr>
          <w:rFonts w:eastAsiaTheme="minorHAnsi"/>
          <w:color w:val="000000"/>
        </w:rPr>
        <w:t>ase (the “Motion”</w:t>
      </w:r>
      <w:r w:rsidR="00774968">
        <w:rPr>
          <w:rFonts w:eastAsiaTheme="minorHAnsi"/>
          <w:color w:val="000000"/>
        </w:rPr>
        <w:t>)</w:t>
      </w:r>
      <w:r>
        <w:rPr>
          <w:rFonts w:eastAsiaTheme="minorHAnsi"/>
          <w:color w:val="000000"/>
        </w:rPr>
        <w:t>, the Court finds that due notice was given and no objections were filed.  The Debtor’s</w:t>
      </w:r>
      <w:r w:rsidR="005D4963">
        <w:rPr>
          <w:rFonts w:eastAsiaTheme="minorHAnsi"/>
          <w:color w:val="000000"/>
        </w:rPr>
        <w:t xml:space="preserve"> </w:t>
      </w:r>
      <w:r w:rsidR="006424D6">
        <w:rPr>
          <w:rFonts w:eastAsiaTheme="minorHAnsi"/>
          <w:color w:val="000000"/>
        </w:rPr>
        <w:t xml:space="preserve">confirmed </w:t>
      </w:r>
      <w:r>
        <w:rPr>
          <w:rFonts w:eastAsiaTheme="minorHAnsi"/>
          <w:color w:val="000000"/>
        </w:rPr>
        <w:t xml:space="preserve">plan </w:t>
      </w:r>
      <w:r w:rsidR="006424D6">
        <w:rPr>
          <w:rFonts w:eastAsiaTheme="minorHAnsi"/>
          <w:color w:val="000000"/>
        </w:rPr>
        <w:t xml:space="preserve">has been substantially consummated </w:t>
      </w:r>
      <w:r>
        <w:rPr>
          <w:rFonts w:eastAsiaTheme="minorHAnsi"/>
          <w:color w:val="000000"/>
        </w:rPr>
        <w:t>as defined by</w:t>
      </w:r>
      <w:r w:rsidR="006424D6">
        <w:rPr>
          <w:rFonts w:eastAsiaTheme="minorHAnsi"/>
          <w:color w:val="000000"/>
        </w:rPr>
        <w:t xml:space="preserve"> 11 U.S.C. </w:t>
      </w:r>
      <w:r>
        <w:rPr>
          <w:rFonts w:eastAsiaTheme="minorHAnsi"/>
          <w:color w:val="000000"/>
        </w:rPr>
        <w:t xml:space="preserve">§ </w:t>
      </w:r>
      <w:r w:rsidR="006424D6">
        <w:rPr>
          <w:rFonts w:eastAsiaTheme="minorHAnsi"/>
          <w:color w:val="000000"/>
        </w:rPr>
        <w:t>1101(2)</w:t>
      </w:r>
      <w:r>
        <w:rPr>
          <w:rFonts w:eastAsiaTheme="minorHAnsi"/>
          <w:color w:val="000000"/>
        </w:rPr>
        <w:t>,</w:t>
      </w:r>
      <w:r w:rsidR="006424D6">
        <w:rPr>
          <w:rFonts w:eastAsiaTheme="minorHAnsi"/>
          <w:color w:val="000000"/>
        </w:rPr>
        <w:t xml:space="preserve"> and the chapter 11 estate has been fully administered, except for the completion of </w:t>
      </w:r>
      <w:r>
        <w:rPr>
          <w:rFonts w:eastAsiaTheme="minorHAnsi"/>
          <w:color w:val="000000"/>
        </w:rPr>
        <w:t xml:space="preserve">the payments required under the plan.  </w:t>
      </w:r>
    </w:p>
    <w:p w:rsidR="005435B7" w:rsidRDefault="005435B7" w:rsidP="005435B7">
      <w:pPr>
        <w:pStyle w:val="ListParagraph"/>
        <w:autoSpaceDE w:val="0"/>
        <w:autoSpaceDN w:val="0"/>
        <w:adjustRightInd w:val="0"/>
        <w:ind w:left="0" w:firstLine="72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IT IS THEREFORE ORDERED:  </w:t>
      </w:r>
    </w:p>
    <w:p w:rsidR="0066107B" w:rsidRDefault="0066107B" w:rsidP="005435B7">
      <w:pPr>
        <w:pStyle w:val="ListParagraph"/>
        <w:autoSpaceDE w:val="0"/>
        <w:autoSpaceDN w:val="0"/>
        <w:adjustRightInd w:val="0"/>
        <w:ind w:left="0" w:firstLine="720"/>
        <w:rPr>
          <w:rFonts w:eastAsiaTheme="minorHAnsi"/>
          <w:color w:val="000000"/>
        </w:rPr>
      </w:pPr>
    </w:p>
    <w:p w:rsidR="00774968" w:rsidRPr="00832C3D" w:rsidRDefault="00774968" w:rsidP="008E62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360"/>
        <w:rPr>
          <w:rFonts w:eastAsiaTheme="minorHAnsi"/>
          <w:color w:val="000000"/>
        </w:rPr>
      </w:pPr>
      <w:r w:rsidRPr="00832C3D">
        <w:rPr>
          <w:rFonts w:eastAsiaTheme="minorHAnsi"/>
          <w:color w:val="000000"/>
        </w:rPr>
        <w:t xml:space="preserve"> The Motion is </w:t>
      </w:r>
      <w:r w:rsidR="00832C3D" w:rsidRPr="00832C3D">
        <w:rPr>
          <w:rFonts w:eastAsiaTheme="minorHAnsi"/>
          <w:color w:val="000000"/>
        </w:rPr>
        <w:t>g</w:t>
      </w:r>
      <w:r w:rsidRPr="00832C3D">
        <w:rPr>
          <w:rFonts w:eastAsiaTheme="minorHAnsi"/>
          <w:color w:val="000000"/>
        </w:rPr>
        <w:t>ranted</w:t>
      </w:r>
      <w:r w:rsidR="00832C3D" w:rsidRPr="00832C3D">
        <w:rPr>
          <w:rFonts w:eastAsiaTheme="minorHAnsi"/>
          <w:color w:val="000000"/>
        </w:rPr>
        <w:t xml:space="preserve"> and </w:t>
      </w:r>
      <w:r w:rsidR="00832C3D">
        <w:rPr>
          <w:rFonts w:eastAsiaTheme="minorHAnsi"/>
          <w:color w:val="000000"/>
        </w:rPr>
        <w:t>t</w:t>
      </w:r>
      <w:r w:rsidRPr="00832C3D">
        <w:rPr>
          <w:rFonts w:eastAsiaTheme="minorHAnsi"/>
          <w:color w:val="000000"/>
        </w:rPr>
        <w:t>h</w:t>
      </w:r>
      <w:r w:rsidR="00D11E9E" w:rsidRPr="00832C3D">
        <w:rPr>
          <w:rFonts w:eastAsiaTheme="minorHAnsi"/>
          <w:color w:val="000000"/>
        </w:rPr>
        <w:t>is</w:t>
      </w:r>
      <w:r w:rsidRPr="00832C3D">
        <w:rPr>
          <w:rFonts w:eastAsiaTheme="minorHAnsi"/>
          <w:color w:val="000000"/>
        </w:rPr>
        <w:t xml:space="preserve"> case is administratively closed.</w:t>
      </w:r>
    </w:p>
    <w:p w:rsidR="00774968" w:rsidRDefault="00774968" w:rsidP="00832C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36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The </w:t>
      </w:r>
      <w:r w:rsidR="0066107B">
        <w:rPr>
          <w:rFonts w:eastAsiaTheme="minorHAnsi"/>
          <w:color w:val="000000"/>
        </w:rPr>
        <w:t>C</w:t>
      </w:r>
      <w:r>
        <w:rPr>
          <w:rFonts w:eastAsiaTheme="minorHAnsi"/>
          <w:color w:val="000000"/>
        </w:rPr>
        <w:t xml:space="preserve">ourt </w:t>
      </w:r>
      <w:r w:rsidR="0066107B">
        <w:rPr>
          <w:rFonts w:eastAsiaTheme="minorHAnsi"/>
          <w:color w:val="000000"/>
        </w:rPr>
        <w:t xml:space="preserve">will </w:t>
      </w:r>
      <w:r>
        <w:rPr>
          <w:rFonts w:eastAsiaTheme="minorHAnsi"/>
          <w:color w:val="000000"/>
        </w:rPr>
        <w:t xml:space="preserve">retain jurisdiction to hear all matters as specified by the confirmed </w:t>
      </w:r>
      <w:r w:rsidR="00D11E9E">
        <w:rPr>
          <w:rFonts w:eastAsiaTheme="minorHAnsi"/>
          <w:color w:val="000000"/>
        </w:rPr>
        <w:t>p</w:t>
      </w:r>
      <w:r>
        <w:rPr>
          <w:rFonts w:eastAsiaTheme="minorHAnsi"/>
          <w:color w:val="000000"/>
        </w:rPr>
        <w:t>lan.</w:t>
      </w:r>
    </w:p>
    <w:p w:rsidR="00774968" w:rsidRDefault="00774968" w:rsidP="00832C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36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This </w:t>
      </w:r>
      <w:r w:rsidR="00D11E9E">
        <w:rPr>
          <w:rFonts w:eastAsiaTheme="minorHAnsi"/>
          <w:color w:val="000000"/>
        </w:rPr>
        <w:t>o</w:t>
      </w:r>
      <w:r>
        <w:rPr>
          <w:rFonts w:eastAsiaTheme="minorHAnsi"/>
          <w:color w:val="000000"/>
        </w:rPr>
        <w:t xml:space="preserve">rder </w:t>
      </w:r>
      <w:r w:rsidR="00832C3D">
        <w:rPr>
          <w:rFonts w:eastAsiaTheme="minorHAnsi"/>
          <w:color w:val="000000"/>
        </w:rPr>
        <w:t>will</w:t>
      </w:r>
      <w:r>
        <w:rPr>
          <w:rFonts w:eastAsiaTheme="minorHAnsi"/>
          <w:color w:val="000000"/>
        </w:rPr>
        <w:t xml:space="preserve"> not constitute an order closing this case for the purposes of 28 U.S.C. § 1930 Appendix (11), 11 U.S.C. § 362(c)(2)(A), or Fed. R. </w:t>
      </w:r>
      <w:proofErr w:type="spellStart"/>
      <w:r>
        <w:rPr>
          <w:rFonts w:eastAsiaTheme="minorHAnsi"/>
          <w:color w:val="000000"/>
        </w:rPr>
        <w:t>Bankr</w:t>
      </w:r>
      <w:proofErr w:type="spellEnd"/>
      <w:r>
        <w:rPr>
          <w:rFonts w:eastAsiaTheme="minorHAnsi"/>
          <w:color w:val="000000"/>
        </w:rPr>
        <w:t>. P. 4006.</w:t>
      </w:r>
    </w:p>
    <w:p w:rsidR="00774968" w:rsidRPr="00774968" w:rsidRDefault="00D11E9E" w:rsidP="00832C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36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The Debtor may move to reopen this case for purpose of receiving a discharge when all plan payments have been completed or the Debtor otherwise qualifies for a discharge under 11 U.S.C. § 1141(d)(5).  </w:t>
      </w:r>
    </w:p>
    <w:p w:rsidR="001621FD" w:rsidRDefault="005435B7" w:rsidP="00832C3D">
      <w:pPr>
        <w:pStyle w:val="ListParagraph"/>
        <w:autoSpaceDE w:val="0"/>
        <w:autoSpaceDN w:val="0"/>
        <w:adjustRightInd w:val="0"/>
        <w:spacing w:line="480" w:lineRule="auto"/>
        <w:ind w:left="1080"/>
        <w:jc w:val="center"/>
      </w:pPr>
      <w:bookmarkStart w:id="0" w:name="_GoBack"/>
      <w:bookmarkEnd w:id="0"/>
      <w:r>
        <w:rPr>
          <w:rFonts w:eastAsiaTheme="minorHAnsi"/>
        </w:rPr>
        <w:t>#####</w:t>
      </w:r>
    </w:p>
    <w:sectPr w:rsidR="001621FD" w:rsidSect="00832C3D">
      <w:pgSz w:w="12240" w:h="15840"/>
      <w:pgMar w:top="43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EB6"/>
    <w:multiLevelType w:val="hybridMultilevel"/>
    <w:tmpl w:val="4CE20B68"/>
    <w:lvl w:ilvl="0" w:tplc="4132B0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4C135B6"/>
    <w:multiLevelType w:val="hybridMultilevel"/>
    <w:tmpl w:val="AEC0732C"/>
    <w:lvl w:ilvl="0" w:tplc="C624E74A">
      <w:start w:val="1"/>
      <w:numFmt w:val="decimal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B7"/>
    <w:rsid w:val="001621FD"/>
    <w:rsid w:val="005435B7"/>
    <w:rsid w:val="005D4963"/>
    <w:rsid w:val="006424D6"/>
    <w:rsid w:val="0066107B"/>
    <w:rsid w:val="00774968"/>
    <w:rsid w:val="00832C3D"/>
    <w:rsid w:val="009B33C9"/>
    <w:rsid w:val="009D328F"/>
    <w:rsid w:val="00D11E9E"/>
    <w:rsid w:val="00E44E2A"/>
    <w:rsid w:val="00EB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81DE6"/>
  <w15:chartTrackingRefBased/>
  <w15:docId w15:val="{B759E720-F9A4-4A64-9C58-E166CCAF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- Wisconsin Eastern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E. Theis</dc:creator>
  <cp:keywords/>
  <dc:description/>
  <cp:lastModifiedBy>USBC</cp:lastModifiedBy>
  <cp:revision>5</cp:revision>
  <dcterms:created xsi:type="dcterms:W3CDTF">2016-03-15T18:03:00Z</dcterms:created>
  <dcterms:modified xsi:type="dcterms:W3CDTF">2016-03-31T16:46:00Z</dcterms:modified>
</cp:coreProperties>
</file>